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45991">
        <w:rPr>
          <w:rFonts w:ascii="Times New Roman" w:hAnsi="Times New Roman" w:cs="Times New Roman"/>
          <w:sz w:val="32"/>
          <w:szCs w:val="32"/>
          <w:lang w:val="ru-RU"/>
        </w:rPr>
        <w:t>РОССИЙСКАЯ ФЕДЕРАЦИЯ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sz w:val="28"/>
          <w:szCs w:val="28"/>
          <w:lang w:val="ru-RU"/>
        </w:rPr>
        <w:t>ИРКУТСКАЯ ОБЛАСТЬ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ОБРАЗОВАНИЯ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 w:cs="Times New Roman"/>
          <w:b/>
          <w:sz w:val="28"/>
          <w:szCs w:val="28"/>
          <w:lang w:val="ru-RU"/>
        </w:rPr>
        <w:t>«ЖЕЛЕЗНОГОРСК – ИЛИМСКОЕ ГОРОДСКОЕ ПОСЕЛЕНИЕ»</w:t>
      </w:r>
    </w:p>
    <w:p w:rsidR="00F45991" w:rsidRPr="00F45991" w:rsidRDefault="00F45991" w:rsidP="00F45991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  <w:lang w:val="ru-RU"/>
        </w:rPr>
      </w:pPr>
      <w:r w:rsidRPr="00F45991">
        <w:rPr>
          <w:rFonts w:ascii="Times New Roman" w:hAnsi="Times New Roman" w:cs="Times New Roman"/>
          <w:b/>
          <w:spacing w:val="60"/>
          <w:sz w:val="32"/>
          <w:szCs w:val="32"/>
          <w:lang w:val="ru-RU"/>
        </w:rPr>
        <w:t>ПОСТАНОВЛЕНИЕ</w:t>
      </w:r>
    </w:p>
    <w:p w:rsidR="00F45991" w:rsidRPr="0066793F" w:rsidRDefault="00F45991" w:rsidP="00F45991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6793F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30654">
        <w:rPr>
          <w:rFonts w:ascii="Times New Roman" w:hAnsi="Times New Roman" w:cs="Times New Roman"/>
          <w:sz w:val="28"/>
          <w:szCs w:val="28"/>
          <w:lang w:val="ru-RU"/>
        </w:rPr>
        <w:t>31.12.</w:t>
      </w:r>
      <w:r w:rsidR="0066793F" w:rsidRPr="0066793F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184D6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6793F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66793F">
        <w:rPr>
          <w:rFonts w:ascii="Times New Roman" w:hAnsi="Times New Roman" w:cs="Times New Roman"/>
          <w:sz w:val="28"/>
          <w:szCs w:val="28"/>
        </w:rPr>
        <w:t>N</w:t>
      </w:r>
      <w:r w:rsidRPr="006679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0654">
        <w:rPr>
          <w:rFonts w:ascii="Times New Roman" w:hAnsi="Times New Roman" w:cs="Times New Roman"/>
          <w:sz w:val="28"/>
          <w:szCs w:val="28"/>
          <w:lang w:val="ru-RU"/>
        </w:rPr>
        <w:t>1006</w:t>
      </w:r>
    </w:p>
    <w:p w:rsidR="0066793F" w:rsidRDefault="0066793F" w:rsidP="00F459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277CD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б утверждении Порядка исполнения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бюджета </w:t>
      </w:r>
    </w:p>
    <w:p w:rsidR="009277CD" w:rsidRDefault="002D640D" w:rsidP="002D640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«Железногорск-</w:t>
      </w:r>
    </w:p>
    <w:p w:rsidR="009277CD" w:rsidRDefault="002D640D" w:rsidP="009277C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Илимско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городско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поселение»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 </w:t>
      </w:r>
      <w:r w:rsidR="00184D6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расходам</w:t>
      </w:r>
    </w:p>
    <w:p w:rsidR="006148BB" w:rsidRPr="00D8486F" w:rsidRDefault="006148BB" w:rsidP="006148BB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9277CD" w:rsidRDefault="00184D6B" w:rsidP="00927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В соответствии со статьей 219</w:t>
      </w:r>
      <w:r w:rsidR="002D640D" w:rsidRPr="002D640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Бюджетного кодекса Российской Федерации, руководствуясь 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Устав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ом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муниципального образования «Железногорск-Илимское 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городско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поселени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е»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,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Положением</w:t>
      </w:r>
      <w:r w:rsidR="009277CD" w:rsidRPr="006148B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о бюджетном процессе в муниципальном образовании «Железногорск-Илимское городское поселение», утвержденн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ым</w:t>
      </w:r>
      <w:r w:rsidR="009277CD" w:rsidRPr="006148B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решением Думы Железногорск-Илимского городского поселения от 29.04.2008 № 35 (с изменениями), </w:t>
      </w:r>
      <w:r w:rsidR="009277CD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администрация </w:t>
      </w:r>
      <w:r w:rsidR="009277CD" w:rsidRPr="006148B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="009277CD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</w:p>
    <w:p w:rsidR="009277CD" w:rsidRDefault="009277CD" w:rsidP="009277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B2D36"/>
          <w:spacing w:val="20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aps/>
          <w:color w:val="3B2D36"/>
          <w:spacing w:val="20"/>
          <w:sz w:val="28"/>
          <w:szCs w:val="28"/>
          <w:lang w:val="ru-RU" w:eastAsia="ru-RU"/>
        </w:rPr>
        <w:t>постановляет:</w:t>
      </w:r>
    </w:p>
    <w:p w:rsidR="008E0C37" w:rsidRDefault="008E0C37" w:rsidP="009277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B2D36"/>
          <w:spacing w:val="20"/>
          <w:sz w:val="28"/>
          <w:szCs w:val="28"/>
          <w:lang w:val="ru-RU" w:eastAsia="ru-RU"/>
        </w:rPr>
      </w:pPr>
    </w:p>
    <w:p w:rsidR="002D640D" w:rsidRPr="008E0C37" w:rsidRDefault="008E0C37" w:rsidP="008E0C3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184D6B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Утвердить </w:t>
      </w:r>
      <w:r w:rsidR="002D640D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Порядок исполнения </w:t>
      </w:r>
      <w:r w:rsidR="009277CD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бюджета муниципального образования «Железногорск-Илимское городское поселени</w:t>
      </w:r>
      <w:r w:rsidR="00914EF4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е»</w:t>
      </w:r>
      <w:r w:rsidR="009277CD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 </w:t>
      </w:r>
      <w:r w:rsidR="00184D6B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расходам</w:t>
      </w:r>
      <w:r w:rsidR="009277CD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2D640D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(</w:t>
      </w:r>
      <w:r w:rsidR="00184D6B" w:rsidRP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прилагается</w:t>
      </w:r>
      <w:r w:rsidR="00F64D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).</w:t>
      </w:r>
    </w:p>
    <w:p w:rsidR="002D640D" w:rsidRPr="002D640D" w:rsidRDefault="002D640D" w:rsidP="002D6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5964" w:rsidRDefault="009605A3" w:rsidP="0096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2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Настоящее постановление </w:t>
      </w:r>
      <w:r w:rsidR="002D5964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подлежит </w:t>
      </w:r>
      <w:r w:rsidR="00184D6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размещению на официальном сайте администрации муниципального образования «Железногорск-Илимс</w:t>
      </w:r>
      <w:r w:rsidR="002D5964" w:rsidRP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кое городское поселение»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.</w:t>
      </w:r>
    </w:p>
    <w:p w:rsidR="002D5964" w:rsidRDefault="002D5964" w:rsidP="0096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D8486F" w:rsidRPr="00D8486F" w:rsidRDefault="008E0C37" w:rsidP="009605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3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Контроль за исполнением данного 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остановления оставляю за собой.</w:t>
      </w:r>
    </w:p>
    <w:p w:rsidR="00D8486F" w:rsidRPr="00D8486F" w:rsidRDefault="00D8486F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 </w:t>
      </w:r>
    </w:p>
    <w:p w:rsidR="008E0C37" w:rsidRDefault="008E0C37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5964" w:rsidRDefault="008E0C37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Глава</w:t>
      </w:r>
      <w:r w:rsidR="00D8486F"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муниципального образования</w:t>
      </w:r>
    </w:p>
    <w:p w:rsidR="002D5964" w:rsidRDefault="002D5964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D8486F" w:rsidRDefault="00D8486F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е»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 w:rsid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Ю.И. Шестёра</w:t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</w:t>
      </w:r>
    </w:p>
    <w:p w:rsidR="002D5964" w:rsidRDefault="002D5964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8E0C37" w:rsidRDefault="008E0C37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105492" w:rsidRDefault="00105492" w:rsidP="00614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0"/>
          <w:szCs w:val="20"/>
          <w:lang w:val="ru-RU" w:eastAsia="ru-RU"/>
        </w:rPr>
      </w:pPr>
    </w:p>
    <w:p w:rsidR="002D5964" w:rsidRPr="00457A0E" w:rsidRDefault="00930654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bookmarkStart w:id="0" w:name="_GoBack"/>
      <w:bookmarkEnd w:id="0"/>
      <w:r w:rsidRP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lastRenderedPageBreak/>
        <w:t>Приложение к</w:t>
      </w:r>
      <w:r w:rsidR="002D5964" w:rsidRP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постановлению администрации муниципального образования «Железногорск-Илимское городское поселение»</w:t>
      </w:r>
    </w:p>
    <w:p w:rsidR="008E0C37" w:rsidRPr="00457A0E" w:rsidRDefault="008E0C37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</w:p>
    <w:p w:rsidR="002D5964" w:rsidRPr="00457A0E" w:rsidRDefault="00457A0E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от </w:t>
      </w:r>
      <w:r w:rsidR="00930654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31.12.</w:t>
      </w:r>
      <w:r w:rsidR="008E0C37" w:rsidRP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2016</w:t>
      </w:r>
      <w:r w:rsidR="002D5964" w:rsidRP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г. №</w:t>
      </w:r>
      <w:r w:rsidR="00930654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1006</w:t>
      </w:r>
    </w:p>
    <w:p w:rsidR="002D5964" w:rsidRPr="002D5964" w:rsidRDefault="002D5964" w:rsidP="002D596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</w:p>
    <w:p w:rsidR="00313C34" w:rsidRDefault="00313C34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1F3248" w:rsidRDefault="00D8486F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ПОРЯДОК</w:t>
      </w: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br/>
      </w:r>
      <w:r w:rsidR="002D5964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исполнения бюджета муниципального образования</w:t>
      </w:r>
    </w:p>
    <w:p w:rsidR="001F3248" w:rsidRDefault="002D5964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«Железногорск-Илимское </w:t>
      </w: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е» </w:t>
      </w:r>
    </w:p>
    <w:p w:rsidR="00D8486F" w:rsidRDefault="00105492" w:rsidP="00614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по </w:t>
      </w:r>
      <w:r w:rsidR="008E0C37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расходам</w:t>
      </w:r>
    </w:p>
    <w:p w:rsidR="00105492" w:rsidRDefault="00105492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6549D0" w:rsidRDefault="006549D0" w:rsidP="00654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</w:t>
      </w:r>
      <w:r w:rsidRPr="006549D0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ОБЩИЕ ПОЛОЖЕНИЯ</w:t>
      </w:r>
    </w:p>
    <w:p w:rsidR="006549D0" w:rsidRPr="006549D0" w:rsidRDefault="006549D0" w:rsidP="00654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1F3248" w:rsidRPr="00955A5D" w:rsidRDefault="002D640D" w:rsidP="001F3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1. Настоящий Порядок устанавливает порядок исполнения </w:t>
      </w:r>
      <w:r w:rsidR="001F3248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бюджета муниципального образования «Железногорск-Илимское городское поселение» </w:t>
      </w:r>
      <w:r w:rsidR="00B122B3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(</w:t>
      </w:r>
      <w:r w:rsidR="00B122B3" w:rsidRPr="00955A5D">
        <w:rPr>
          <w:rFonts w:ascii="Times New Roman" w:eastAsia="Times New Roman" w:hAnsi="Times New Roman" w:cs="Times New Roman"/>
          <w:color w:val="0000FF"/>
          <w:sz w:val="26"/>
          <w:szCs w:val="26"/>
          <w:lang w:val="ru-RU" w:eastAsia="ru-RU"/>
        </w:rPr>
        <w:t>далее – местный бюджет</w:t>
      </w:r>
      <w:r w:rsidR="00B122B3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) 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по 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расходам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.</w:t>
      </w:r>
    </w:p>
    <w:p w:rsidR="00B122B3" w:rsidRPr="00955A5D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2. Исполнение </w:t>
      </w:r>
      <w:r w:rsidR="00B122B3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местного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бюджета по 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расходам осуществляет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отдел финансового планирования и контроля администрации муниципального образования «Железногорск-Илимское городское поселение» (далее – Финансовый отдел).</w:t>
      </w:r>
    </w:p>
    <w:p w:rsidR="00B122B3" w:rsidRPr="00955A5D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3. Исполнение </w:t>
      </w:r>
      <w:r w:rsidR="00B122B3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местного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бюджета по 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расходам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предусматривает:</w:t>
      </w:r>
    </w:p>
    <w:p w:rsidR="00B122B3" w:rsidRPr="00955A5D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принятие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и учет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бюджетных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и денежных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обязательств;</w:t>
      </w:r>
    </w:p>
    <w:p w:rsidR="00B122B3" w:rsidRPr="00955A5D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подтверждение денежных обязательств;</w:t>
      </w:r>
    </w:p>
    <w:p w:rsidR="00B122B3" w:rsidRPr="00955A5D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санкционирование оплаты денежных обязательств;</w:t>
      </w:r>
    </w:p>
    <w:p w:rsidR="00B122B3" w:rsidRPr="00955A5D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подтверждение исполнения денежных обязательств.</w:t>
      </w:r>
    </w:p>
    <w:p w:rsidR="00DB3FF0" w:rsidRPr="00955A5D" w:rsidRDefault="002D640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4. 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Исполнение местного бюджета по расходам осуществляется с использованием лицевых счетов, открытых </w:t>
      </w:r>
      <w:r w:rsidR="00DB3FF0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Финансовым отделом для 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получател</w:t>
      </w:r>
      <w:r w:rsidR="00DB3FF0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ей</w:t>
      </w:r>
      <w:r w:rsidR="008E0C37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средств</w:t>
      </w:r>
      <w:r w:rsidR="00DB3FF0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местного бюджета</w:t>
      </w:r>
      <w:r w:rsidR="009F6403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(далее – клиенты)</w:t>
      </w:r>
      <w:r w:rsidR="00DB3FF0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.</w:t>
      </w:r>
    </w:p>
    <w:p w:rsidR="00DB3FF0" w:rsidRPr="00955A5D" w:rsidRDefault="009F6403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Лицевые счета клиентам открываются Финансовым отделом на лицевом счете администрации муниципального образования «Железногорск-Илимское городское поселение»</w:t>
      </w:r>
      <w:r w:rsidR="000849ED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, открытом в Управлении Ф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едерального казначейства по  Иркутской области (далее – УФК по Иркутской области) на балансовом счете № 40204 «Средства местных бюджетов» в Отделении по Иркутской области Сибирского главного управления Центрального банка Российской Федерации для учета операций со средствами</w:t>
      </w:r>
      <w:r w:rsidR="000849ED"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местного бюджета.</w:t>
      </w:r>
    </w:p>
    <w:p w:rsidR="000849ED" w:rsidRPr="00955A5D" w:rsidRDefault="000849ED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5. Финансовый отдел осуществляет платежи клиентов за счет средств местного бюджета в соответствии с Регламентом о порядке и условиях обмена информацией между Управлением Федерального казначейства по Иркутской области и администрацией муниципального образования «Железногорск-Илимское городское поселение» при кассовом обслуживании исполнения бюджета Железногорск-Илимского городского поселения в условиях открытия в Управлении Федерального казначейства по Иркутской области лицевого счета администрации муниципального образования «Железногорск-Илимское городское поселение» (далее – Регламент), в пределах фактического остатка на счете бюджета.</w:t>
      </w:r>
    </w:p>
    <w:p w:rsidR="006549D0" w:rsidRPr="00955A5D" w:rsidRDefault="006549D0" w:rsidP="006549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6. При осуществлении операций со средствами местного бюджета информационный обмен между </w:t>
      </w:r>
      <w:r w:rsid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администрацией муниципального образования </w:t>
      </w:r>
      <w:r w:rsid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lastRenderedPageBreak/>
        <w:t xml:space="preserve">«Железногорск - Илимское городское поселение» и УФК по Иркутской области 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осуществляется в электронном виде с применением средств электронной</w:t>
      </w:r>
      <w:r w:rsid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подписи на основании договора</w:t>
      </w:r>
      <w:r w:rsidRPr="00955A5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о применении усиленной квалифицированной электронной подписи в системе электронного документооборота</w:t>
      </w:r>
      <w:r w:rsid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.</w:t>
      </w:r>
    </w:p>
    <w:p w:rsidR="006549D0" w:rsidRDefault="006549D0" w:rsidP="00B12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6549D0" w:rsidRDefault="006549D0" w:rsidP="00654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II</w:t>
      </w:r>
      <w:r w:rsidRPr="006549D0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ПРИНЯТИЕ И УЧЕТ БЮДЖЕТНЫХ </w:t>
      </w:r>
    </w:p>
    <w:p w:rsidR="00DB3FF0" w:rsidRDefault="006549D0" w:rsidP="006549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И ДЕНЕЖНЫХ ОБЯЗАТЕЛЬСТВ</w:t>
      </w:r>
    </w:p>
    <w:p w:rsidR="006549D0" w:rsidRPr="006549D0" w:rsidRDefault="006549D0" w:rsidP="006549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6549D0" w:rsidRPr="006549D0" w:rsidRDefault="00E216CB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7</w:t>
      </w:r>
      <w:r w:rsidR="006549D0" w:rsidRPr="006549D0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Клиент принимает бюджетные обязательства в пределах доведенных до него лимитов бюджетных обязательств путем заключения </w:t>
      </w:r>
      <w:r w:rsidR="00457A0E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муниципальных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законами, иными нормативными правовы</w:t>
      </w:r>
      <w:r w:rsidR="00A436EF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ми актами Российской Федерации,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Иркутской области,</w:t>
      </w:r>
      <w:r w:rsidR="00A436EF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муниципального образования,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соглашениями.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клиент.</w:t>
      </w:r>
    </w:p>
    <w:p w:rsidR="006549D0" w:rsidRPr="006549D0" w:rsidRDefault="009B0341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8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. Учет бюджетных и денежных обязательств, принятых клиентом и подлежащих исполнению за счет средств </w:t>
      </w:r>
      <w:r w:rsidR="00A436EF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местного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бюджета, осуществляется </w:t>
      </w:r>
      <w:r w:rsidR="00A436EF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Финансовым отделом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в</w:t>
      </w:r>
      <w:r w:rsidR="00A436EF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автоматизированной системе планирования и исполнения бюджета (далее – Система)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.</w:t>
      </w:r>
    </w:p>
    <w:p w:rsidR="006549D0" w:rsidRPr="006549D0" w:rsidRDefault="00A436EF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Финансовый отдел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не осуществляет учет обязательств: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1) подлежащих расходованию с учетных записей по отражению операций по публичным нормативным обязательствам;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2) подлежащих оплате по кодам видов расходов классификации расходов бюджетов 121, 122, </w:t>
      </w:r>
      <w:r w:rsidR="00A436EF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123,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129</w:t>
      </w:r>
      <w:r w:rsidR="009B0341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, 852, 853</w:t>
      </w:r>
      <w:r w:rsidR="00F64D37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.</w:t>
      </w:r>
    </w:p>
    <w:p w:rsidR="005D33A6" w:rsidRDefault="009B0341" w:rsidP="005D3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bookmarkStart w:id="1" w:name="P78"/>
      <w:bookmarkEnd w:id="1"/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9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. Для постановки на учет бюджетного обязательства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Финансовый отдел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формирует:</w:t>
      </w:r>
      <w:r w:rsid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электронный документ (далее - ЭД) "</w:t>
      </w:r>
      <w:r w:rsidR="005D33A6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Бюджетное обязательство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" в</w:t>
      </w:r>
      <w:r w:rsidR="005D33A6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Системе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на основании</w:t>
      </w:r>
      <w:r w:rsid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: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</w:t>
      </w:r>
    </w:p>
    <w:p w:rsidR="006549D0" w:rsidRPr="005D33A6" w:rsidRDefault="005D33A6" w:rsidP="005D33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1) </w:t>
      </w:r>
      <w:r w:rsidR="0044390D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муниципальных 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контрактов, иных договоров гражданско-правового характера с физическими и юридическими лицами, индивидуальными предпринимателями на приобретение товаров, выполнение работ, оказание услуг,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49D0" w:rsidRPr="006549D0" w:rsidRDefault="005D33A6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2) 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в соответствии с заключенными соглашениями с автономным учреждени</w:t>
      </w:r>
      <w:r w:rsidR="00F64D37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ем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на предоставление субсидий на финансовое обеспечение выполнения ими </w:t>
      </w:r>
      <w:r w:rsidR="0044390D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муниципального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задания, рассчитанные с учетом нормативных затрат на оказание ими </w:t>
      </w:r>
      <w:r w:rsidR="0044390D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муниципальных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услуг физическим и (или) юридическим лицам и нормативных затра</w:t>
      </w:r>
      <w:r w:rsidR="0044390D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т на содержание муниципального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имущества, субсидии на иные цели, а также в соответствии с заключенными соглашениями с автономным учреждени</w:t>
      </w:r>
      <w:r w:rsidR="00F64D37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ем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, </w:t>
      </w:r>
      <w:r w:rsidR="0044390D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муниципальными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унитарными предприятиями на предоставление субсидии на осуществление капитальных вложений в объекты капитально</w:t>
      </w:r>
      <w:r w:rsidR="0044390D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го строительства муниципальной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собственности и приобретение объектов недвижи</w:t>
      </w:r>
      <w:r w:rsidR="0044390D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мого имущества в муниципальную</w:t>
      </w:r>
      <w:r w:rsidR="006549D0" w:rsidRPr="005D33A6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собственность;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3) в соответствии с заключенными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муниципальными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контрактами (договорами), к которым не применяются положения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lastRenderedPageBreak/>
        <w:t xml:space="preserve">4) в соответствии с поступившими в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Финансовый отдел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судебными актами, предусматривающими обращение взыскания на средства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местного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бюджета по денежным обязательствам клиентов.</w:t>
      </w:r>
    </w:p>
    <w:p w:rsidR="006549D0" w:rsidRPr="006549D0" w:rsidRDefault="009B0341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10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. При постановке на учет бюджетного обязательства клиента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Финансовым отделом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осуществляется контроль: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1) на </w:t>
      </w:r>
      <w:proofErr w:type="spellStart"/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непревышение</w:t>
      </w:r>
      <w:proofErr w:type="spellEnd"/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суммы бюджетного обязательства по соответствующим кодам классификации расходов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местного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бюджета над суммой неиспользованных доведенных лимитов бюджетных обязательств, отраженных на соответствующем лицевом счете клиента, отдельно для текущего финансового года, </w:t>
      </w:r>
      <w:r w:rsidRPr="009B0341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для первого и второго годов планового периода;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bookmarkStart w:id="2" w:name="P88"/>
      <w:bookmarkEnd w:id="2"/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2) на соответствие сведений в представленном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муниципальном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контракте сведениям о данном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муниципальном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контракте, содержащимся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в части уникального номера реестровой записи, наименования заказчика, номера, даты и суммы 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муниципального</w:t>
      </w: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контракта, объекта закупки, наименования и ИНН поставщика (подрядчика, исполнителя).</w:t>
      </w:r>
    </w:p>
    <w:p w:rsidR="006549D0" w:rsidRPr="006549D0" w:rsidRDefault="009B0341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11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. Внесение изменений в сведения о</w:t>
      </w:r>
      <w:r w:rsidR="0044390D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муниципальном 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контракте в реестре контрактов без внесения изменений в поставленное на учет бюджетное обязательство не допускается.</w:t>
      </w:r>
    </w:p>
    <w:p w:rsidR="006549D0" w:rsidRPr="006549D0" w:rsidRDefault="00A3522A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12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. Клиент подтверждает обязанность оплатить за счет средств </w:t>
      </w:r>
      <w:r w:rsidR="006C1273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местного</w:t>
      </w:r>
      <w:r w:rsidR="006549D0"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Подтверждение денежных обязательств (за исключением денежных обязательств по публичным нормативным обязательствам) осуществляется в пределах доведенных до клиента лимитов бюджетных обязательств.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6549D0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Подтверждение денежных обязательств по публичным нормативным обязательствам осуществляется в пределах доведенных до клиента бюджетных ассигнований.</w:t>
      </w:r>
    </w:p>
    <w:p w:rsidR="006549D0" w:rsidRPr="006549D0" w:rsidRDefault="006549D0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</w:p>
    <w:p w:rsidR="00E216CB" w:rsidRDefault="00E216CB" w:rsidP="00E21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III</w:t>
      </w:r>
      <w:r w:rsidRPr="006549D0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САНКЦИОНИРОВАНИЕ ОПЛАТЫ </w:t>
      </w:r>
    </w:p>
    <w:p w:rsidR="00E216CB" w:rsidRDefault="00E216CB" w:rsidP="00E21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ДЕНЕЖНЫХ ОБЯЗАТЕЛЬСТВ</w:t>
      </w:r>
    </w:p>
    <w:p w:rsidR="002D640D" w:rsidRPr="006549D0" w:rsidRDefault="002D640D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</w:p>
    <w:p w:rsidR="00E216CB" w:rsidRPr="00E216CB" w:rsidRDefault="00A3522A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13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. Для санкционирования оплаты денежного обязательства клиент представляет 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в Финансовый отдел 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пакет документов, подтверждающих возникновение денежных обязательств (далее - подтверждающие документы), в соответствии с </w:t>
      </w:r>
      <w:hyperlink w:anchor="P431" w:history="1">
        <w:r w:rsidR="00E216CB" w:rsidRPr="00A3522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ru-RU" w:eastAsia="ru-RU"/>
          </w:rPr>
          <w:t>перечнем</w:t>
        </w:r>
      </w:hyperlink>
      <w:r w:rsidR="00E216CB" w:rsidRPr="00A3522A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установленным Приложением 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2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к настоящему Порядку (далее - Перечень).</w:t>
      </w:r>
    </w:p>
    <w:p w:rsidR="00E216CB" w:rsidRPr="00E216CB" w:rsidRDefault="00E216CB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По обязательствам, по которым Перечнем не определен пакет документов, подтверждающих возникновение денежных обязательств, </w:t>
      </w:r>
      <w:r w:rsidR="00A3522A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Финансовый отдел</w:t>
      </w:r>
      <w:r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санкционирует оплату на основании документов, определенных действующим законодательством Российской Федерации и Иркутской области.</w:t>
      </w:r>
    </w:p>
    <w:p w:rsidR="00E216CB" w:rsidRPr="00E216CB" w:rsidRDefault="00A3522A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14. Финансовый отдел формирует платежные поручения в соответствии с Приложением 1 к настоящему Порядку.  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В тексте назначен</w:t>
      </w:r>
      <w:r w:rsidR="009B0341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ия платежа платежного документа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указыва</w:t>
      </w:r>
      <w:r w:rsidR="009B0341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ются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реквизиты (наименование, номер и дата) подтверждающих 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документов, а также иная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ая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я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, предусмотренн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ая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Перечнем.</w:t>
      </w:r>
    </w:p>
    <w:p w:rsidR="00A3522A" w:rsidRDefault="00A3522A" w:rsidP="00E21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E216CB" w:rsidRDefault="00E216CB" w:rsidP="00E21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IV</w:t>
      </w:r>
      <w:r w:rsidRPr="006549D0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ПОДТВЕРЖДЕНИЕ ИСПОЛНЕНИЯ </w:t>
      </w:r>
    </w:p>
    <w:p w:rsidR="00E216CB" w:rsidRDefault="00E216CB" w:rsidP="00E21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ДЕНЕЖНЫХ ОБЯЗАТЕЛЬСТВ</w:t>
      </w:r>
    </w:p>
    <w:p w:rsidR="00E216CB" w:rsidRDefault="00E216C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E216CB" w:rsidRPr="00E216CB" w:rsidRDefault="00A3522A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15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. </w:t>
      </w:r>
      <w:r w:rsidR="008675E3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Финансовый отдел е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жедневно на основании санкционированных к оплате платежных документов клиентов формирует платежные поручения в Системе.</w:t>
      </w:r>
    </w:p>
    <w:p w:rsidR="00E216CB" w:rsidRPr="00E216CB" w:rsidRDefault="008675E3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Администрация муниципального образования «Железногорск-Илимское городское поселение»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в установленном Регламентом порядке представляет в УФК по Иркутской области платежные поручения для осуществления платежей со счета бюджета.</w:t>
      </w:r>
    </w:p>
    <w:p w:rsidR="00E216CB" w:rsidRPr="00E216CB" w:rsidRDefault="00E216CB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Платежные поручения, не принятые УФК по Иркутской области к исполне</w:t>
      </w:r>
      <w:r w:rsidR="008675E3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нию, возвращаются </w:t>
      </w:r>
      <w:proofErr w:type="gramStart"/>
      <w:r w:rsidR="008675E3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в </w:t>
      </w:r>
      <w:r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с</w:t>
      </w:r>
      <w:proofErr w:type="gramEnd"/>
      <w:r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указанием причин отказа в порядке, установленном Регламентом.</w:t>
      </w:r>
    </w:p>
    <w:p w:rsidR="00E216CB" w:rsidRPr="00E216CB" w:rsidRDefault="00EE47AB" w:rsidP="00E21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16</w:t>
      </w:r>
      <w:r w:rsidR="008675E3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. Финансовый отдел</w:t>
      </w:r>
      <w:r w:rsidR="00E216CB" w:rsidRPr="00E216CB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в течение операционного дня в день получения выписки из счета бюджета осуществляет подтверждение исполненных денежных обязательств на лицевых счетах клиентов в соответствии с кодами бюджетной классификации, указанными получателями бюджетных средств в платежном документе.</w:t>
      </w:r>
    </w:p>
    <w:p w:rsidR="00E216CB" w:rsidRDefault="00E216C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E216CB" w:rsidRDefault="00E216C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Pr="00DB6FA8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Глав</w:t>
      </w:r>
      <w:r w:rsidR="00E216CB"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а</w:t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муниципального образования</w:t>
      </w:r>
    </w:p>
    <w:p w:rsidR="005062FB" w:rsidRPr="00DB6FA8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«Железногорск-Илимское городское </w:t>
      </w:r>
    </w:p>
    <w:p w:rsidR="005062FB" w:rsidRPr="00DB6FA8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поселение»</w:t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</w:r>
      <w:r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ab/>
        <w:t xml:space="preserve">   </w:t>
      </w:r>
      <w:r w:rsidR="00E216CB" w:rsidRPr="00DB6FA8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>Ю.И. Шестёра</w:t>
      </w: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P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2D640D" w:rsidRDefault="002D640D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5062FB" w:rsidRDefault="005062FB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7424EF" w:rsidRDefault="007424EF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7424EF" w:rsidRDefault="007424EF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7424EF" w:rsidRDefault="007424EF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8675E3" w:rsidRDefault="008675E3" w:rsidP="002D6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A70EF6" w:rsidRDefault="00A70EF6" w:rsidP="00A70EF6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lastRenderedPageBreak/>
        <w:t xml:space="preserve">Приложение </w:t>
      </w:r>
      <w:r w:rsidR="008675E3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1 к Порядку исполнения бюджета муниципального образования </w:t>
      </w:r>
      <w:r w:rsidRPr="002D5964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 «Железногорск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>-Илимское городское поселение»</w:t>
      </w:r>
      <w:r w:rsidR="007015B5">
        <w:rPr>
          <w:rFonts w:ascii="Times New Roman" w:eastAsia="Times New Roman" w:hAnsi="Times New Roman" w:cs="Times New Roman"/>
          <w:color w:val="3B2D36"/>
          <w:sz w:val="24"/>
          <w:szCs w:val="24"/>
          <w:lang w:val="ru-RU" w:eastAsia="ru-RU"/>
        </w:rPr>
        <w:t xml:space="preserve"> по расходам</w:t>
      </w:r>
    </w:p>
    <w:p w:rsidR="00A70EF6" w:rsidRDefault="00A70EF6" w:rsidP="00A7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E216CB" w:rsidRDefault="00E216CB" w:rsidP="00E216CB">
      <w:pPr>
        <w:pStyle w:val="ConsPlusNormal"/>
        <w:jc w:val="both"/>
      </w:pPr>
    </w:p>
    <w:p w:rsidR="00E216CB" w:rsidRPr="008675E3" w:rsidRDefault="00E216CB" w:rsidP="00E21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12"/>
      <w:bookmarkEnd w:id="3"/>
      <w:r w:rsidRPr="008675E3">
        <w:rPr>
          <w:rFonts w:ascii="Times New Roman" w:hAnsi="Times New Roman" w:cs="Times New Roman"/>
          <w:sz w:val="24"/>
          <w:szCs w:val="24"/>
        </w:rPr>
        <w:t>ПЕРЕЧЕНЬ И ОПИСАНИЕ</w:t>
      </w:r>
    </w:p>
    <w:p w:rsidR="00E216CB" w:rsidRPr="008675E3" w:rsidRDefault="00E216CB" w:rsidP="00E216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75E3">
        <w:rPr>
          <w:rFonts w:ascii="Times New Roman" w:hAnsi="Times New Roman" w:cs="Times New Roman"/>
          <w:sz w:val="24"/>
          <w:szCs w:val="24"/>
        </w:rPr>
        <w:t>РЕКВИЗИТОВ ПЛАТЕЖНЫХ ДОКУМЕНТОВ</w:t>
      </w:r>
    </w:p>
    <w:p w:rsidR="00E216CB" w:rsidRPr="008675E3" w:rsidRDefault="00E216CB" w:rsidP="00E216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1"/>
        <w:gridCol w:w="2041"/>
        <w:gridCol w:w="5839"/>
      </w:tblGrid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Номер реквизита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Наименование реквизита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Значение реквизита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E216CB" w:rsidRPr="008675E3" w:rsidRDefault="008675E3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платежного документа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 xml:space="preserve">Номер формы по </w:t>
            </w:r>
            <w:hyperlink r:id="rId6" w:history="1">
              <w:r w:rsidRPr="00867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Данное поле не заполняется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номер платежного документа.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номер платежного документа цифрами, который должен быть отличен от нуля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Дата составления платежного документа.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Указываются в платежном документе день, месяц, год цифрами в формате ДД.ММ.ГГГГ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Значение не указывается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Сумма прописью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Сумма платежа прописью.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в платежном документе на бумажном носителе. Указывается с начала строки с заглавной буквы сумма платежа прописью в рублях, при этом слово "рубль" в соответствующем падеже не сокращается, копейки указываются цифрами, слово "копейка" в соответствующем падеже также не сокращается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Сумма платежа.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В платежном документе на бумажном носителе указывается сумма платежа цифрами, рубли отделяются от копеек знаком тире "-".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В платежном документе в электронном виде сумма платежа цифрами указывается в соответствии с установленным форматом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полное или сокращенное наименование клиента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номер лицевого счета клиента, откр</w:t>
            </w:r>
            <w:r w:rsidR="008675E3">
              <w:rPr>
                <w:rFonts w:ascii="Times New Roman" w:hAnsi="Times New Roman" w:cs="Times New Roman"/>
                <w:sz w:val="24"/>
                <w:szCs w:val="24"/>
              </w:rPr>
              <w:t xml:space="preserve">ытый Финансовым отделом 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Банк плательщика</w:t>
            </w:r>
          </w:p>
        </w:tc>
        <w:tc>
          <w:tcPr>
            <w:tcW w:w="5839" w:type="dxa"/>
          </w:tcPr>
          <w:p w:rsidR="00E216CB" w:rsidRPr="008675E3" w:rsidRDefault="00E216CB" w:rsidP="008675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и место нахождения банка клиента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 банка клиента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Номер счета банка клиента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в платежном документе наименование и место нахождения банка получателя средств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 банка получателя средств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Номер счета банка получателя средств. Указывается номер корреспондентского счета кредитной организации, корреспондентского субсчета филиала кредитной организации, открытый в подразделении Банка России.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Значение реквизита не указывается, если получатель средств, не являющийся кредитной организацией, филиалом кредитной организации, обслуживается в подразделении Банка России, или подразделение Банка России, а также переводе денежных средств кредитной организацией, филиалом кредитной организации подразделению Банка России для выдачи наличных денежных средств филиалу кредитной организации, не имеющему корреспондентского субсчета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Для юридических лиц, банков указывается полное или сокращенное наименование;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Для физических лиц - Ф.И.О.;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 - Ф.И.О. и правовой статус;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Для физических лиц, занимающихся в установленном порядке частной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практикой, - Ф.И.О. и указание на вид деятельности.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Для учреждений, лицевой счет которым открыт в органе Федерального Казначейства (финансовом органе), указываются полное или сокращенное наименование органа Федерального Казначейства (финансового органа), в скобках - полное или сокращенное наименование учреждения, лицевой счет учреждения;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при перечислении средств в рамках одного балансового счета для учреждений, лицевой счет которым открыт в Казначействе, указывается полное или сокращенное наименование учреждения (получателя средств)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. N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счета получателя средств в банке (за исключением корреспондентского счета кредитной организации, корреспондентского субсчета филиала кредитной организации, открытого в подразделении Банка России), сформированный в соответствии с правилами ведения бухгалтерского учета в Банке </w:t>
            </w:r>
            <w:r w:rsidRPr="0086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или правилами ведения бухгалтерского учета в кредитной организации, расположенных на территории Российской Федерации.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Номер счета может не указываться в платежном документе на общую сумму с реестром, в котором указаны получатели средств, обслуживаемые одним банком, составляемом плательщиком.</w:t>
            </w:r>
          </w:p>
          <w:p w:rsidR="00E216CB" w:rsidRPr="008675E3" w:rsidRDefault="00E216CB" w:rsidP="00742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 xml:space="preserve">При перечислении средств в рамках одного балансового счета для учреждений, которым открыт лицевой счет в </w:t>
            </w:r>
            <w:r w:rsidR="007424EF">
              <w:rPr>
                <w:rFonts w:ascii="Times New Roman" w:hAnsi="Times New Roman" w:cs="Times New Roman"/>
                <w:sz w:val="24"/>
                <w:szCs w:val="24"/>
              </w:rPr>
              <w:t>Финансовом отделе</w:t>
            </w: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, указывается соответствующий лицевой счет учреждения (получателя средств)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Вид оп.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Вид операции.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шифр платежного документа - 01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Срок. плат.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Срок платежа.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Значение реквизита не указывается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Наз. пл.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Назначение платежа кодовое.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Значение реквизита не указывается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Очер. плат.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Очередность платежа.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очередность платежа цифрой в соответствии с Федеральным законом или не указывается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Значение реквизита не указывается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Рез. поле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Резервное поле.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Значение реквизита не указывается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В платежном документе указывается: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услуг, безвозмездных перечислений, компенсаций, социальной помощи населению и иных выплат;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тип, номера и даты всех подтверждающих документов, предусмотренных Перечнем;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информация, предусмотренная Перечнем;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в соответствии с законодательством, включая налог на добавленную стоимость, который выделяется в конце назначения платежа. В случае, если оказанные услуги, выполненные работы, приобретенные товары налогом на добавленную стоимость не облагаются, в конце назначения платежа указывается "НДС не облагается"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Отметки банка</w:t>
            </w:r>
          </w:p>
        </w:tc>
        <w:tc>
          <w:tcPr>
            <w:tcW w:w="5839" w:type="dxa"/>
          </w:tcPr>
          <w:p w:rsidR="00E216CB" w:rsidRPr="008675E3" w:rsidRDefault="00E216CB" w:rsidP="00742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документе на бумажном носителе проставляется штамп </w:t>
            </w:r>
            <w:r w:rsidR="007424EF"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 xml:space="preserve"> с отметкой "Проведено" (с указанием даты финансирования, Ф.И.О. уполномоченного сотрудника </w:t>
            </w:r>
            <w:r w:rsidR="007424EF"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, акцептовавшего платежный документ)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  <w:r w:rsidRPr="0086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(ИНН).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ИНН клиента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ИНН получателя средств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. в банк плат.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Поступило в Казначейство.</w:t>
            </w:r>
          </w:p>
          <w:p w:rsidR="00E216CB" w:rsidRPr="008675E3" w:rsidRDefault="007424EF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поле не заполняется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 xml:space="preserve">Списано со </w:t>
            </w:r>
            <w:proofErr w:type="spellStart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. плат.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Списано со счета клиента.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Данное поле не заполняется</w:t>
            </w:r>
          </w:p>
        </w:tc>
      </w:tr>
      <w:tr w:rsidR="00E216CB" w:rsidRPr="00930654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101, 104-110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Идентификатор платежа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информация в соответствии с требованиями нормативных правовых актов, принятых федеральными органами исполнительной власти (при осуществлении платежей в бюджетную систему Российской Федерации)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КПП клиента</w:t>
            </w:r>
          </w:p>
        </w:tc>
      </w:tr>
      <w:tr w:rsidR="00E216CB" w:rsidRPr="008675E3" w:rsidTr="00522A68">
        <w:tc>
          <w:tcPr>
            <w:tcW w:w="115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41" w:type="dxa"/>
          </w:tcPr>
          <w:p w:rsidR="00E216CB" w:rsidRPr="008675E3" w:rsidRDefault="00E216CB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39" w:type="dxa"/>
          </w:tcPr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(КПП).</w:t>
            </w:r>
          </w:p>
          <w:p w:rsidR="00E216CB" w:rsidRPr="008675E3" w:rsidRDefault="00E216CB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5E3">
              <w:rPr>
                <w:rFonts w:ascii="Times New Roman" w:hAnsi="Times New Roman" w:cs="Times New Roman"/>
                <w:sz w:val="24"/>
                <w:szCs w:val="24"/>
              </w:rPr>
              <w:t>Указывается КПП получателя средств</w:t>
            </w:r>
          </w:p>
        </w:tc>
      </w:tr>
    </w:tbl>
    <w:p w:rsidR="00E216CB" w:rsidRDefault="00E216CB" w:rsidP="00E216CB">
      <w:pPr>
        <w:pStyle w:val="ConsPlusNormal"/>
        <w:jc w:val="both"/>
      </w:pPr>
    </w:p>
    <w:p w:rsidR="007015B5" w:rsidRDefault="007015B5" w:rsidP="0070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</w:p>
    <w:p w:rsidR="007015B5" w:rsidRDefault="007015B5" w:rsidP="0070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Глава муниципального образования</w:t>
      </w:r>
    </w:p>
    <w:p w:rsidR="007015B5" w:rsidRDefault="007015B5" w:rsidP="007015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092D2B" w:rsidRDefault="007015B5" w:rsidP="007015B5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поселение»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  <w:t xml:space="preserve">   Ю.И. Шестёра</w:t>
      </w: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92D2B" w:rsidRDefault="00092D2B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3522A" w:rsidRDefault="00A3522A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24EF" w:rsidRDefault="007424EF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24EF" w:rsidRDefault="007424EF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24EF" w:rsidRDefault="007424EF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24EF" w:rsidRDefault="007424EF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24EF" w:rsidRDefault="007424EF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24EF" w:rsidRDefault="007424EF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424EF" w:rsidRDefault="007424EF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015B5" w:rsidRPr="007015B5" w:rsidRDefault="00A3522A" w:rsidP="007015B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lastRenderedPageBreak/>
        <w:t>Приложение 2</w:t>
      </w:r>
      <w:r w:rsidR="007015B5" w:rsidRPr="007015B5">
        <w:rPr>
          <w:rFonts w:ascii="Times New Roman" w:eastAsia="Times New Roman" w:hAnsi="Times New Roman" w:cs="Times New Roman"/>
          <w:color w:val="3B2D36"/>
          <w:sz w:val="26"/>
          <w:szCs w:val="26"/>
          <w:lang w:val="ru-RU" w:eastAsia="ru-RU"/>
        </w:rPr>
        <w:t xml:space="preserve"> к Порядку исполнения бюджета муниципального образования  «Железногорск-Илимское городское поселение» по расходам</w:t>
      </w:r>
    </w:p>
    <w:p w:rsidR="00580FE9" w:rsidRDefault="00580FE9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0FE9" w:rsidRPr="007015B5" w:rsidRDefault="00580FE9" w:rsidP="00580F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431"/>
      <w:bookmarkEnd w:id="4"/>
      <w:r w:rsidRPr="007015B5">
        <w:rPr>
          <w:rFonts w:ascii="Times New Roman" w:hAnsi="Times New Roman" w:cs="Times New Roman"/>
          <w:sz w:val="26"/>
          <w:szCs w:val="26"/>
        </w:rPr>
        <w:t>ПЕРЕЧЕНЬ</w:t>
      </w:r>
    </w:p>
    <w:p w:rsidR="00580FE9" w:rsidRPr="007015B5" w:rsidRDefault="00580FE9" w:rsidP="00580F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15B5">
        <w:rPr>
          <w:rFonts w:ascii="Times New Roman" w:hAnsi="Times New Roman" w:cs="Times New Roman"/>
          <w:sz w:val="26"/>
          <w:szCs w:val="26"/>
        </w:rPr>
        <w:t>ДОКУМЕНТОВ, ПОДТВЕРЖДАЮЩИХ</w:t>
      </w:r>
    </w:p>
    <w:p w:rsidR="00580FE9" w:rsidRPr="007015B5" w:rsidRDefault="00580FE9" w:rsidP="00580FE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015B5">
        <w:rPr>
          <w:rFonts w:ascii="Times New Roman" w:hAnsi="Times New Roman" w:cs="Times New Roman"/>
          <w:sz w:val="26"/>
          <w:szCs w:val="26"/>
        </w:rPr>
        <w:t>ВОЗНИКНОВЕНИЕ ДЕНЕЖНЫХ ОБЯЗАТЕЛЬСТВ</w:t>
      </w:r>
    </w:p>
    <w:p w:rsidR="00580FE9" w:rsidRDefault="00580FE9" w:rsidP="00580F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24EF" w:rsidRPr="007015B5" w:rsidRDefault="007424EF" w:rsidP="00580F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35"/>
        <w:gridCol w:w="3798"/>
      </w:tblGrid>
      <w:tr w:rsidR="00580FE9" w:rsidRPr="007015B5" w:rsidTr="00522A68">
        <w:tc>
          <w:tcPr>
            <w:tcW w:w="737" w:type="dxa"/>
            <w:vMerge w:val="restart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8333" w:type="dxa"/>
            <w:gridSpan w:val="2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проводимой операции</w:t>
            </w:r>
          </w:p>
        </w:tc>
      </w:tr>
      <w:tr w:rsidR="00580FE9" w:rsidRPr="007015B5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798" w:type="dxa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580FE9" w:rsidRPr="007015B5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труда. Уплата налогов, государственной пошлины, сборов, иных платежей в бюджеты всех уровней. Перечисление стипендий</w:t>
            </w:r>
          </w:p>
        </w:tc>
      </w:tr>
      <w:tr w:rsidR="00580FE9" w:rsidRPr="007015B5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7015B5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поощрительного характера</w:t>
            </w:r>
          </w:p>
        </w:tc>
      </w:tr>
      <w:tr w:rsidR="00580FE9" w:rsidRPr="00930654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руководителя клиента о выплате сотрудникам вознаграждений поощрительного характера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580FE9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3" w:type="dxa"/>
            <w:gridSpan w:val="2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Удержания из доходов физических лиц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вид дохода, с которого производится удержание</w:t>
            </w: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580FE9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3" w:type="dxa"/>
            <w:gridSpan w:val="2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выплаты, обусловленные условиями трудовых отношений, статусом работников в соответствии с законодательством Российской Федерации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Документы в соответствии с порядком (правилами) предоставления выплаты, установленные нормативным правовым актом (далее - НПА)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номер и дата НПА, устанавливающего порядок (правила)</w:t>
            </w:r>
          </w:p>
        </w:tc>
      </w:tr>
      <w:tr w:rsidR="00580FE9" w:rsidRPr="00930654" w:rsidTr="007424EF">
        <w:trPr>
          <w:trHeight w:val="499"/>
        </w:trPr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Перечисление денежных средств под отчет сотрудникам при служебных командировках</w:t>
            </w:r>
          </w:p>
        </w:tc>
      </w:tr>
      <w:tr w:rsidR="00580FE9" w:rsidRPr="007015B5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Приказ (распоряжение) руководителя клиента о направлении в служебную командировку сотрудников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"командировочные расходы"</w:t>
            </w: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7424EF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Возмещение сотрудникам документально подтвержденных расходов</w:t>
            </w:r>
          </w:p>
        </w:tc>
      </w:tr>
      <w:tr w:rsidR="00580FE9" w:rsidRPr="007015B5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Авансовый отчет, утвержденный руководителем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7424EF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Плата за поставленные товары, выполненные работы и оказанные услуги</w:t>
            </w:r>
          </w:p>
        </w:tc>
      </w:tr>
      <w:tr w:rsidR="00580FE9" w:rsidRPr="00930654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1. Счет.</w:t>
            </w:r>
          </w:p>
          <w:p w:rsidR="00580FE9" w:rsidRPr="00A3522A" w:rsidRDefault="007015B5" w:rsidP="00701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486"/>
            <w:bookmarkEnd w:id="5"/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2. Муниципальный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 и иные документы, определенные порядком оплаты 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(договора) (счет-фактура, справка о стоимости выполненных работ (</w:t>
            </w:r>
            <w:hyperlink r:id="rId7" w:history="1">
              <w:r w:rsidR="00580FE9" w:rsidRPr="00A352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КС-3</w:t>
              </w:r>
            </w:hyperlink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), акт выполненных работ, акт оказанных услуг, акт приема-передачи, товарные накладные и иные документы)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7424EF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</w:tr>
      <w:tr w:rsidR="00580FE9" w:rsidRPr="00930654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7424EF" w:rsidRDefault="00580FE9" w:rsidP="00742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E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предусмотренные </w:t>
            </w:r>
            <w:r w:rsidR="007424EF" w:rsidRPr="007424EF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="007424EF" w:rsidRPr="007424E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7424E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при уплате налоговым агентом налога на добавленную стоимость (далее - НДС) с арендной платы отдельным платежным документом в конце текста назначения платежа указывается номер и дата платежного документа, которым перечисляется (была перечислена) сумма НДС с арендной платы</w:t>
            </w:r>
          </w:p>
        </w:tc>
      </w:tr>
      <w:tr w:rsidR="00580FE9" w:rsidRPr="007015B5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арендодателю (балансодержателю)</w:t>
            </w:r>
          </w:p>
        </w:tc>
      </w:tr>
      <w:tr w:rsidR="00580FE9" w:rsidRPr="00930654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A3522A" w:rsidRDefault="00580FE9" w:rsidP="00742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предусмотренные </w:t>
            </w:r>
            <w:hyperlink w:anchor="P486" w:history="1">
              <w:r w:rsidR="007424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</w:t>
              </w:r>
              <w:r w:rsidRPr="00A352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7424E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Оплата за выполненные работы по строительству, реконструкции, техническому перевооружению,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8079A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(договор), счет на предоплату (ес</w:t>
            </w:r>
            <w:r w:rsidR="007424EF">
              <w:rPr>
                <w:rFonts w:ascii="Times New Roman" w:hAnsi="Times New Roman" w:cs="Times New Roman"/>
                <w:sz w:val="24"/>
                <w:szCs w:val="24"/>
              </w:rPr>
              <w:t>ли предусмотрено муниципальным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 (договором)), справка о стоимости выполненных работ и затрат (унифицированная форма первичной учетной документации </w:t>
            </w:r>
            <w:hyperlink r:id="rId8" w:history="1">
              <w:r w:rsidR="00580FE9" w:rsidRPr="00A352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КС-3</w:t>
              </w:r>
            </w:hyperlink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  <w:vAlign w:val="center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предоставленные коммунальные услуги, эксплуатационные услуги, услуги телефонно-телеграфной, факсимильной, сотовой, пейджинговой связи, радиосвязи, </w:t>
            </w:r>
            <w:proofErr w:type="spellStart"/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интернет-провайдеров</w:t>
            </w:r>
            <w:proofErr w:type="spellEnd"/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, услуги охраны</w:t>
            </w:r>
          </w:p>
        </w:tc>
      </w:tr>
      <w:tr w:rsidR="00580FE9" w:rsidRPr="00930654" w:rsidTr="007424EF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80FE9" w:rsidRPr="00A3522A" w:rsidRDefault="00580FE9" w:rsidP="00742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предусмотренные </w:t>
            </w:r>
            <w:hyperlink w:anchor="P486" w:history="1">
              <w:r w:rsidR="007424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</w:t>
              </w:r>
              <w:r w:rsidRPr="00A352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7424E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7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пособий, компенсаций и иных социальных выплат гражданам, публичных нормативных социальных выплат гражданам, </w:t>
            </w:r>
          </w:p>
        </w:tc>
      </w:tr>
      <w:tr w:rsidR="00580FE9" w:rsidRPr="00930654" w:rsidTr="007424EF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категория граждан - получателей выплат;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номер и дата НПА, устанавливающего выплату</w:t>
            </w:r>
          </w:p>
        </w:tc>
      </w:tr>
      <w:tr w:rsidR="00580FE9" w:rsidRPr="00930654" w:rsidTr="007424EF">
        <w:tc>
          <w:tcPr>
            <w:tcW w:w="737" w:type="dxa"/>
            <w:vMerge w:val="restart"/>
            <w:tcBorders>
              <w:top w:val="single" w:sz="4" w:space="0" w:color="auto"/>
              <w:bottom w:val="nil"/>
            </w:tcBorders>
          </w:tcPr>
          <w:p w:rsidR="00580FE9" w:rsidRPr="00A3522A" w:rsidRDefault="00580FE9" w:rsidP="00B746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46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33" w:type="dxa"/>
            <w:gridSpan w:val="2"/>
            <w:tcBorders>
              <w:top w:val="single" w:sz="4" w:space="0" w:color="auto"/>
            </w:tcBorders>
          </w:tcPr>
          <w:p w:rsidR="00580FE9" w:rsidRPr="00A3522A" w:rsidRDefault="00580FE9" w:rsidP="00B7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субсидий гражданам на приобретение жилья. </w:t>
            </w:r>
          </w:p>
        </w:tc>
      </w:tr>
      <w:tr w:rsidR="00580FE9" w:rsidRPr="00930654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EE47AB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Документы, установленные НПА и настоящим Перечнем, в зависимости от проводимой операции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номер и дата НПА, устанавливающего порядок (правила) предоставления</w:t>
            </w:r>
          </w:p>
        </w:tc>
      </w:tr>
      <w:tr w:rsidR="00580FE9" w:rsidRPr="00930654" w:rsidTr="00522A68">
        <w:tc>
          <w:tcPr>
            <w:tcW w:w="737" w:type="dxa"/>
          </w:tcPr>
          <w:p w:rsidR="00580FE9" w:rsidRPr="00A3522A" w:rsidRDefault="00580FE9" w:rsidP="00B746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субсидий, грантов в форме субсидий организациям</w:t>
            </w: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580FE9" w:rsidP="00B7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7424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субсидий, грантов в форме субсидий организациям, за исключением субсидий </w:t>
            </w:r>
            <w:r w:rsidR="007424EF">
              <w:rPr>
                <w:rFonts w:ascii="Times New Roman" w:hAnsi="Times New Roman" w:cs="Times New Roman"/>
                <w:sz w:val="24"/>
                <w:szCs w:val="24"/>
              </w:rPr>
              <w:t>автономному учреждению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Документы в соответствии с порядком (правилами) предоставления субсидии организациям, установленные НПА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номер и дата НПА, устанавливающего порядок (правила)</w:t>
            </w: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580FE9" w:rsidP="00B7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701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финансовое обеспеч</w:t>
            </w:r>
            <w:r w:rsidR="007015B5" w:rsidRPr="00A3522A">
              <w:rPr>
                <w:rFonts w:ascii="Times New Roman" w:hAnsi="Times New Roman" w:cs="Times New Roman"/>
                <w:sz w:val="24"/>
                <w:szCs w:val="24"/>
              </w:rPr>
              <w:t>ение выполнения муниципального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7015B5" w:rsidRPr="00A3522A">
              <w:rPr>
                <w:rFonts w:ascii="Times New Roman" w:hAnsi="Times New Roman" w:cs="Times New Roman"/>
                <w:sz w:val="24"/>
                <w:szCs w:val="24"/>
              </w:rPr>
              <w:t>автономному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015B5" w:rsidRPr="00A352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Соглашение об условиях предоставления субсидии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580FE9" w:rsidP="00B7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 автономным учреждениям на счета, о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ткрытые в УФК по Иркутской области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соглашение об условиях предоставления субсидии;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- платежные поручения, заверенные 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, подтверждающие кассовый расход автономного учреждения на цель, определенную соглашением;</w:t>
            </w:r>
          </w:p>
          <w:p w:rsidR="00580FE9" w:rsidRPr="00A3522A" w:rsidRDefault="00580FE9" w:rsidP="00D8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- подтверждающие документы, определенные </w:t>
            </w:r>
            <w:hyperlink r:id="rId9" w:history="1">
              <w:r w:rsidRPr="00A352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Порядком</w:t>
              </w:r>
            </w:hyperlink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санкц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ионирования расходов автономного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, источником финансового обеспечения которых являются с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полученные 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ответствии</w:t>
            </w:r>
            <w:proofErr w:type="spellEnd"/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с абзацем вторым пункта 1 статьи 78.1 и статьей 78.2 Бюджетного кодекса Российской Федерации (в назначении платежа не указываются)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B7469A" w:rsidP="00B746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D867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осуществление капитальных вложений в объекты капита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льного строительства автономному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677D" w:rsidRPr="00A3522A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унитарным предприятиям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документы в соответствии с порядком (правилами) предоставления субсидии на осуществление капитальных вложений, установленные НПА;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соглашение о предоставлении субсидии на осуществление капитальных вложений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номер и дата НПА, устанавливающего порядок (правила)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Правительства Иркутской области в форме НПА о предоставлении бюджетных инвестиций юридическим </w:t>
            </w:r>
            <w:r w:rsidRPr="00A3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в объекты капитального строительства или на приобретение объектов недвижимого имущества;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Иркутской области о наделении полномочиями исполнительного органа государственной власти выступать от имени Иркутской области;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договор между Правительством Иркутской области (уполномоченным им исполнительным органом государственной власти Иркутской области) и юридическим лицом об участии Иркутской области в собственности субъекта инвестиций, иные документы, предусмотренные договором;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НПА, устанавливающий требования к договорам, заключенным в связи с предоставлением бюджетных инвестиций юридическим лицам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за членство в некоммерческой организации</w:t>
            </w:r>
          </w:p>
        </w:tc>
      </w:tr>
      <w:tr w:rsidR="00580FE9" w:rsidRPr="00930654" w:rsidTr="00522A68">
        <w:tc>
          <w:tcPr>
            <w:tcW w:w="737" w:type="dxa"/>
            <w:vMerge/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членство клиента в некоммерческой организации;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сумму членского взноса в некоммерческую организацию, содержащие реквизиты для оплаты</w:t>
            </w:r>
          </w:p>
        </w:tc>
        <w:tc>
          <w:tcPr>
            <w:tcW w:w="3798" w:type="dxa"/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Уплата пеней, штрафов и иных санкций, за исключением уплаты пеней, штрафов и иных санкций, удержанных из заработной платы сотрудников</w:t>
            </w:r>
          </w:p>
        </w:tc>
      </w:tr>
      <w:tr w:rsidR="00580FE9" w:rsidRPr="00930654" w:rsidTr="00522A68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документ, определяющий размер штрафа, пени, иных санкций (в случае самостоятельного исчисления клиентом пени подтверждающий документ не представляется);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служебная записка (письмо на официальном бланке) главного распорядителя бюджетных средств (далее - ГРБС), подтверждающая объем выделенных средств на текущий финансовый год для перечисления штрафов, пеней, иных санкций</w:t>
            </w:r>
          </w:p>
        </w:tc>
        <w:tc>
          <w:tcPr>
            <w:tcW w:w="3798" w:type="dxa"/>
            <w:tcBorders>
              <w:bottom w:val="nil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актов, решений органов власти</w:t>
            </w:r>
          </w:p>
        </w:tc>
      </w:tr>
      <w:tr w:rsidR="00580FE9" w:rsidRPr="00930654" w:rsidTr="007424EF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1. Исполнительный документ, решение (определение) суда.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2. Мировое соглашение, определение суда, утверждающее мировое соглашение.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3. Решение налогового органа о взыскании налога, сбора, пеней и штрафов.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Постановление судебного пристава-исполнителя о взыскании исполнительского сбора.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5. Решение суда об установлении платы за пользование объектом сервитута.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6. Определение о назначении экспертизы или ходатайство о назначении экспертизы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FE9" w:rsidRPr="00930654" w:rsidTr="00522A68">
        <w:tc>
          <w:tcPr>
            <w:tcW w:w="737" w:type="dxa"/>
            <w:vMerge w:val="restart"/>
            <w:tcBorders>
              <w:bottom w:val="nil"/>
            </w:tcBorders>
          </w:tcPr>
          <w:p w:rsidR="00580FE9" w:rsidRPr="00A3522A" w:rsidRDefault="00B7469A" w:rsidP="00522A6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0FE9" w:rsidRPr="00A35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33" w:type="dxa"/>
            <w:gridSpan w:val="2"/>
          </w:tcPr>
          <w:p w:rsidR="00580FE9" w:rsidRPr="00A3522A" w:rsidRDefault="00580FE9" w:rsidP="00522A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прошлых лет</w:t>
            </w:r>
          </w:p>
        </w:tc>
      </w:tr>
      <w:tr w:rsidR="00580FE9" w:rsidRPr="00930654" w:rsidTr="007424EF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документы, предусмотренные настоящим Перечнем, в зависимости от проводимой операции;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акт сверки взаиморасчетов по государственному контракту (договору) или акт инвентаризации (в случае заключения государственного контракта (договора) с физическим лицом), подписанные датой текущего месяца;</w:t>
            </w:r>
          </w:p>
          <w:p w:rsidR="00580FE9" w:rsidRPr="00A3522A" w:rsidRDefault="00580FE9" w:rsidP="00522A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A">
              <w:rPr>
                <w:rFonts w:ascii="Times New Roman" w:hAnsi="Times New Roman" w:cs="Times New Roman"/>
                <w:sz w:val="24"/>
                <w:szCs w:val="24"/>
              </w:rPr>
              <w:t>- служебная записка (письмо на официальном бланке) ГРБС, подтверждающая объем выделенных средств на текущий финансовый год для погашения кредиторской задолженности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80FE9" w:rsidRPr="00A3522A" w:rsidRDefault="00580FE9" w:rsidP="00522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FE9" w:rsidRDefault="00580FE9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0FE9" w:rsidRDefault="00580FE9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80FE9" w:rsidRDefault="00580FE9" w:rsidP="00092D2B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51458" w:rsidRDefault="00A51458" w:rsidP="00A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Глава муниципального образования</w:t>
      </w:r>
    </w:p>
    <w:p w:rsidR="00A51458" w:rsidRDefault="00A51458" w:rsidP="00A514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</w:pPr>
      <w:r w:rsidRP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580FE9" w:rsidRDefault="00A51458" w:rsidP="00A51458">
      <w:pPr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62FB"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>поселение»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val="ru-RU" w:eastAsia="ru-RU"/>
        </w:rPr>
        <w:tab/>
        <w:t xml:space="preserve">   Ю.И. Шестёра</w:t>
      </w:r>
    </w:p>
    <w:p w:rsidR="0048284C" w:rsidRDefault="0048284C" w:rsidP="00482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8284C" w:rsidRDefault="0048284C" w:rsidP="004828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sectPr w:rsidR="0048284C" w:rsidSect="00522A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4E63"/>
    <w:multiLevelType w:val="multilevel"/>
    <w:tmpl w:val="DCC2A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35504A"/>
    <w:multiLevelType w:val="hybridMultilevel"/>
    <w:tmpl w:val="79042A04"/>
    <w:lvl w:ilvl="0" w:tplc="19D42DD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5186E51"/>
    <w:multiLevelType w:val="hybridMultilevel"/>
    <w:tmpl w:val="9FA4D494"/>
    <w:lvl w:ilvl="0" w:tplc="A1B2B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0A4"/>
    <w:rsid w:val="0001612C"/>
    <w:rsid w:val="00056AB0"/>
    <w:rsid w:val="00076C17"/>
    <w:rsid w:val="000849ED"/>
    <w:rsid w:val="00092D2B"/>
    <w:rsid w:val="00105492"/>
    <w:rsid w:val="00116322"/>
    <w:rsid w:val="00116ECD"/>
    <w:rsid w:val="0014638A"/>
    <w:rsid w:val="001625D3"/>
    <w:rsid w:val="001654E6"/>
    <w:rsid w:val="001741E7"/>
    <w:rsid w:val="00184D6B"/>
    <w:rsid w:val="00185E19"/>
    <w:rsid w:val="001A3040"/>
    <w:rsid w:val="001C49FB"/>
    <w:rsid w:val="001E23F4"/>
    <w:rsid w:val="001F3248"/>
    <w:rsid w:val="00203966"/>
    <w:rsid w:val="002170D3"/>
    <w:rsid w:val="00225624"/>
    <w:rsid w:val="00236F39"/>
    <w:rsid w:val="00252DDA"/>
    <w:rsid w:val="00272C1B"/>
    <w:rsid w:val="00282909"/>
    <w:rsid w:val="002B4916"/>
    <w:rsid w:val="002C6C7B"/>
    <w:rsid w:val="002D5964"/>
    <w:rsid w:val="002D640D"/>
    <w:rsid w:val="002E7ADB"/>
    <w:rsid w:val="00313C34"/>
    <w:rsid w:val="00347ABC"/>
    <w:rsid w:val="00352665"/>
    <w:rsid w:val="00361946"/>
    <w:rsid w:val="003C75CE"/>
    <w:rsid w:val="00427A7A"/>
    <w:rsid w:val="0044390D"/>
    <w:rsid w:val="004478B8"/>
    <w:rsid w:val="00457A0E"/>
    <w:rsid w:val="00480390"/>
    <w:rsid w:val="0048160D"/>
    <w:rsid w:val="0048284C"/>
    <w:rsid w:val="00493FD0"/>
    <w:rsid w:val="00500DA0"/>
    <w:rsid w:val="005062FB"/>
    <w:rsid w:val="00522A68"/>
    <w:rsid w:val="005260A4"/>
    <w:rsid w:val="00580FE9"/>
    <w:rsid w:val="00583582"/>
    <w:rsid w:val="005D33A6"/>
    <w:rsid w:val="006148BB"/>
    <w:rsid w:val="0063136A"/>
    <w:rsid w:val="006464C3"/>
    <w:rsid w:val="006549D0"/>
    <w:rsid w:val="0066793F"/>
    <w:rsid w:val="00674DAE"/>
    <w:rsid w:val="00693A82"/>
    <w:rsid w:val="00695241"/>
    <w:rsid w:val="006C1273"/>
    <w:rsid w:val="006D2E1A"/>
    <w:rsid w:val="006D72AA"/>
    <w:rsid w:val="006E0522"/>
    <w:rsid w:val="007015B5"/>
    <w:rsid w:val="00715E8E"/>
    <w:rsid w:val="007424EF"/>
    <w:rsid w:val="007707F0"/>
    <w:rsid w:val="00780A0C"/>
    <w:rsid w:val="007C3818"/>
    <w:rsid w:val="007F3B21"/>
    <w:rsid w:val="00800609"/>
    <w:rsid w:val="008079A9"/>
    <w:rsid w:val="00823425"/>
    <w:rsid w:val="00857FD3"/>
    <w:rsid w:val="008675E3"/>
    <w:rsid w:val="008B59AC"/>
    <w:rsid w:val="008C3C6E"/>
    <w:rsid w:val="008E0C37"/>
    <w:rsid w:val="008E42F7"/>
    <w:rsid w:val="00914EF4"/>
    <w:rsid w:val="00922A50"/>
    <w:rsid w:val="00924DB6"/>
    <w:rsid w:val="009277CD"/>
    <w:rsid w:val="00930654"/>
    <w:rsid w:val="00955A5D"/>
    <w:rsid w:val="009605A3"/>
    <w:rsid w:val="00971CB3"/>
    <w:rsid w:val="009B0341"/>
    <w:rsid w:val="009F6403"/>
    <w:rsid w:val="00A20761"/>
    <w:rsid w:val="00A2397A"/>
    <w:rsid w:val="00A3522A"/>
    <w:rsid w:val="00A436EF"/>
    <w:rsid w:val="00A51458"/>
    <w:rsid w:val="00A5301D"/>
    <w:rsid w:val="00A635B1"/>
    <w:rsid w:val="00A70EF6"/>
    <w:rsid w:val="00A8769C"/>
    <w:rsid w:val="00AB1C10"/>
    <w:rsid w:val="00AB7551"/>
    <w:rsid w:val="00AE355C"/>
    <w:rsid w:val="00AF7B82"/>
    <w:rsid w:val="00B122B3"/>
    <w:rsid w:val="00B44D7F"/>
    <w:rsid w:val="00B467D8"/>
    <w:rsid w:val="00B54A2A"/>
    <w:rsid w:val="00B567DD"/>
    <w:rsid w:val="00B66366"/>
    <w:rsid w:val="00B66E86"/>
    <w:rsid w:val="00B7469A"/>
    <w:rsid w:val="00B96CA6"/>
    <w:rsid w:val="00BC0653"/>
    <w:rsid w:val="00BE56C5"/>
    <w:rsid w:val="00C25E47"/>
    <w:rsid w:val="00C53A19"/>
    <w:rsid w:val="00C75896"/>
    <w:rsid w:val="00C76A44"/>
    <w:rsid w:val="00C808A0"/>
    <w:rsid w:val="00CD5D91"/>
    <w:rsid w:val="00D01E16"/>
    <w:rsid w:val="00D05927"/>
    <w:rsid w:val="00D17BBC"/>
    <w:rsid w:val="00D23FF5"/>
    <w:rsid w:val="00D75D42"/>
    <w:rsid w:val="00D8486F"/>
    <w:rsid w:val="00D8677D"/>
    <w:rsid w:val="00D922B4"/>
    <w:rsid w:val="00DB3FF0"/>
    <w:rsid w:val="00DB6FA8"/>
    <w:rsid w:val="00DD1277"/>
    <w:rsid w:val="00E13023"/>
    <w:rsid w:val="00E216CB"/>
    <w:rsid w:val="00E60857"/>
    <w:rsid w:val="00E6116A"/>
    <w:rsid w:val="00E92142"/>
    <w:rsid w:val="00EA6ADC"/>
    <w:rsid w:val="00EC0D59"/>
    <w:rsid w:val="00ED3573"/>
    <w:rsid w:val="00EE0103"/>
    <w:rsid w:val="00EE47AB"/>
    <w:rsid w:val="00F45991"/>
    <w:rsid w:val="00F64D37"/>
    <w:rsid w:val="00F7678C"/>
    <w:rsid w:val="00F85F9A"/>
    <w:rsid w:val="00F9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8F11"/>
  <w15:docId w15:val="{2188D9DB-5A9B-41EB-9CA5-8146117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09"/>
    <w:pPr>
      <w:ind w:left="720"/>
      <w:contextualSpacing/>
    </w:pPr>
  </w:style>
  <w:style w:type="character" w:customStyle="1" w:styleId="blk">
    <w:name w:val="blk"/>
    <w:basedOn w:val="a0"/>
    <w:rsid w:val="0001612C"/>
  </w:style>
  <w:style w:type="paragraph" w:styleId="a4">
    <w:name w:val="Balloon Text"/>
    <w:basedOn w:val="a"/>
    <w:link w:val="a5"/>
    <w:uiPriority w:val="99"/>
    <w:semiHidden/>
    <w:unhideWhenUsed/>
    <w:rsid w:val="001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0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459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/>
    </w:rPr>
  </w:style>
  <w:style w:type="paragraph" w:styleId="a6">
    <w:name w:val="Normal (Web)"/>
    <w:basedOn w:val="a"/>
    <w:uiPriority w:val="99"/>
    <w:unhideWhenUsed/>
    <w:rsid w:val="00F4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09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549D0"/>
    <w:rPr>
      <w:color w:val="0000FF" w:themeColor="hyperlink"/>
      <w:u w:val="single"/>
    </w:rPr>
  </w:style>
  <w:style w:type="paragraph" w:customStyle="1" w:styleId="ConsPlusNormal">
    <w:name w:val="ConsPlusNormal"/>
    <w:rsid w:val="00E21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580F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A7FDA68398B54D63C9C17DFB00AD1D3BA58FD4357E5A3E7D66322BC2DDCBE2DB967920E665Dj3j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1A7FDA68398B54D63C9C17DFB00AD1D3BA58FD4357E5A3E7D66322BC2DDCBE2DB967920E665Dj3j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1A7FDA68398B54D63C9C17DFB00AD1D3BC5EFA475FB8A9EF8F6F20BBj2j2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A7FDA68398B54D63C821AC9DC50DDD0B705F0415DB4F6BADB6977E47285FC6AB06DC64D2055362FDB0DFDjFj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8FC0-23D5-4FC8-8B9B-C36F6173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14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KosarevaOS</cp:lastModifiedBy>
  <cp:revision>99</cp:revision>
  <cp:lastPrinted>2017-04-21T05:23:00Z</cp:lastPrinted>
  <dcterms:created xsi:type="dcterms:W3CDTF">2014-11-19T13:19:00Z</dcterms:created>
  <dcterms:modified xsi:type="dcterms:W3CDTF">2022-05-30T02:19:00Z</dcterms:modified>
</cp:coreProperties>
</file>